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Disclaimer / Nota d'uso</w:t>
      </w:r>
    </w:p>
    <w:p>
      <w:r>
        <w:t>Questo toolkit è un modello operativo di riferimento, non un piano strategico definitivo. Va adattato al contesto aziendale, al mercato, agli obiettivi di business, al budget disponibile e alle risorse interne. Non sostituisce un percorso strategico completo, ma aiuta a preparare il lavoro di analisi, allineamento e pianificazione. Prima dell'adozione si consiglia validazione con il management e, se necessario, con consulenti di riferimento.</w:t>
      </w:r>
    </w:p>
    <w:p>
      <w:r>
        <w:t>―――</w:t>
      </w:r>
    </w:p>
    <w:p>
      <w:r>
        <w:rPr>
          <w:b/>
          <w:color w:val="0073CF"/>
          <w:sz w:val="16"/>
        </w:rPr>
        <w:t>TOOLKIT SCARICABILE · AROUNDIGITAL STRATEGY</w:t>
      </w:r>
    </w:p>
    <w:p>
      <w:pPr>
        <w:pStyle w:val="Title"/>
      </w:pPr>
      <w:r>
        <w:t>Go-to-Market Roadmap Canvas</w:t>
      </w:r>
    </w:p>
    <w:p>
      <w:r>
        <w:rPr>
          <w:color w:val="465369"/>
          <w:sz w:val="22"/>
        </w:rPr>
        <w:t>Template editabile per costruire una roadmap go-to-market con obiettivi, target, offerta, canali, contenuti, funnel, CRM, budget, KPI e governance.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FF7E6"/>
            <w:top w:val="single" w:sz="6" w:space="0" w:color="F0B429"/>
            <w:left w:val="single" w:sz="6" w:space="0" w:color="F0B429"/>
            <w:bottom w:val="single" w:sz="6" w:space="0" w:color="F0B429"/>
            <w:right w:val="single" w:sz="6" w:space="0" w:color="F0B429"/>
          </w:tcPr>
          <w:p>
            <w:r>
              <w:rPr>
                <w:b/>
                <w:color w:val="B75A00"/>
                <w:sz w:val="16"/>
              </w:rPr>
              <w:t>NOTA D’USO</w:t>
            </w:r>
          </w:p>
          <w:p>
            <w:pPr>
              <w:spacing w:before="80"/>
            </w:pPr>
            <w:r>
              <w:rPr>
                <w:sz w:val="18"/>
              </w:rPr>
              <w:t>Questo toolkit è un modello operativo di riferimento. Va adattato al contesto aziendale, al mercato, agli obiettivi di business, al budget disponibile e alle risorse interne. Non sostituisce un percorso strategico completo, ma aiuta a preparare il lavoro di analisi, allineamento e pianificazione.</w:t>
            </w:r>
          </w:p>
        </w:tc>
      </w:tr>
    </w:tbl>
    <w:p/>
    <w:p>
      <w:pPr>
        <w:pStyle w:val="Heading1"/>
      </w:pPr>
      <w:r>
        <w:t>Come usare il canvas</w:t>
      </w:r>
    </w:p>
    <w:p>
      <w:r>
        <w:t>Usa questo template per trasformare una nuova offerta, un rilancio o un progetto di crescita in un piano operativo. Il focus non è solo il lancio, ma la sequenza tra mercato, offerta, canali, funnel, contenuti, CRM e misurazione.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Fase</w:t>
            </w:r>
          </w:p>
        </w:tc>
        <w:tc>
          <w:tcPr>
            <w:tcW w:type="dxa" w:w="57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Domanda guida</w:t>
            </w:r>
          </w:p>
        </w:tc>
        <w:tc>
          <w:tcPr>
            <w:tcW w:type="dxa" w:w="316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Output</w:t>
            </w:r>
          </w:p>
        </w:tc>
      </w:tr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Strategia</w:t>
            </w:r>
          </w:p>
        </w:tc>
        <w:tc>
          <w:tcPr>
            <w:tcW w:type="dxa" w:w="57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 chi vendiamo, cosa promettiamo e perché ora?</w:t>
            </w:r>
          </w:p>
        </w:tc>
        <w:tc>
          <w:tcPr>
            <w:tcW w:type="dxa" w:w="316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Obiettivo, target, offerta e posizionamento.</w:t>
            </w:r>
          </w:p>
        </w:tc>
      </w:tr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Execution</w:t>
            </w:r>
          </w:p>
        </w:tc>
        <w:tc>
          <w:tcPr>
            <w:tcW w:type="dxa" w:w="57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Con quali canali, contenuti, funnel e CRM attiviamo il mercato?</w:t>
            </w:r>
          </w:p>
        </w:tc>
        <w:tc>
          <w:tcPr>
            <w:tcW w:type="dxa" w:w="316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Channel strategy, content plan, funnel map.</w:t>
            </w:r>
          </w:p>
        </w:tc>
      </w:tr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Governance</w:t>
            </w:r>
          </w:p>
        </w:tc>
        <w:tc>
          <w:tcPr>
            <w:tcW w:type="dxa" w:w="57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Come misuriamo e correggiamo il piano?</w:t>
            </w:r>
          </w:p>
        </w:tc>
        <w:tc>
          <w:tcPr>
            <w:tcW w:type="dxa" w:w="316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KPI, budget, roadmap 90/180/365, rituali.</w:t>
            </w:r>
          </w:p>
        </w:tc>
      </w:tr>
    </w:tbl>
    <w:p>
      <w:pPr>
        <w:pStyle w:val="Heading1"/>
      </w:pPr>
      <w:r>
        <w:t>0. Informazioni progetto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Campo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Da compilare</w:t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Azienda / brand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Owner interno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Offerta / progetto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Mercato / segmento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Data prevista lancio / rilancio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Versione roadmap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1. Obiettivo di business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Obiettivo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Baseline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Target</w:t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Orizzonte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Note</w:t>
            </w:r>
          </w:p>
        </w:tc>
      </w:tr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Lead qualificati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90/180/365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Pipeline / opportunità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90/180/365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Vendite / ricavi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90/180/365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Awareness / traffico qualificato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90/180/365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2. Target, bisogno e offerta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Target prioritario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Problema / trigger</w:t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Offerta / pacchetto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Messaggio chiave</w:t>
            </w:r>
          </w:p>
        </w:tc>
        <w:tc>
          <w:tcPr>
            <w:tcW w:type="dxa" w:w="129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Priorità</w:t>
            </w:r>
          </w:p>
        </w:tc>
      </w:tr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29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Alta / Media / Bassa</w:t>
            </w:r>
          </w:p>
        </w:tc>
      </w:tr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29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29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3. Value proposition e proof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Elemento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Risposta</w:t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Promessa principale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Perché ora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Differenza rispetto alle alternative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Proof disponibili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Obiezioni da gestire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CTA primaria</w:t>
            </w:r>
          </w:p>
        </w:tc>
        <w:tc>
          <w:tcPr>
            <w:tcW w:type="dxa" w:w="72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4. Channel strategy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Canale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Ruolo nel funnel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Target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Asset richiesti</w:t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KPI</w:t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Sito / landing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Convertire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SEO / Knowledge Hub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Educare e intercettare domanda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LinkedIn / social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Generare domanda e proof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Paid media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Acquisizione scalabile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CRM / email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Nurturing e follow-up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Sales outreach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Qualificazione e vendita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5. Funnel e CRM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Fase funnel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Touchpoint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CTA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Dato raccolto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Responsabile</w:t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Awareness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Consideration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Conversion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Nurturing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Sales handoff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Retention / sviluppo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6. Content &amp; sales enablement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Asset</w:t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Obiettivo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Formato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Owner</w:t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Stato</w:t>
            </w:r>
          </w:p>
        </w:tc>
      </w:tr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Landing page</w:t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Da fare</w:t>
            </w:r>
          </w:p>
        </w:tc>
      </w:tr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Guida / articolo hub</w:t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Case study / proof</w:t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Sales deck</w:t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Email sequence</w:t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FAQ commerciali</w:t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7. Budget allocation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Area investimento</w:t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Budget previsto</w:t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% totale</w:t>
            </w:r>
          </w:p>
        </w:tc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Nota</w:t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Strategia / governance</w:t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Asset / landing / contenuti</w:t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Campagne / media</w:t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CRM / automation</w:t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Sales enablement</w:t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Test / ottimizzazione</w:t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8. Roadmap 90/180/365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Orizzonte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Priorità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Output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KPI</w:t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Owner</w:t>
            </w:r>
          </w:p>
        </w:tc>
      </w:tr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0-90 giorni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90-180 giorni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180-365 giorni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9. Rischi e governance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Rischio / dipendenza</w:t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Impatto</w:t>
            </w:r>
          </w:p>
        </w:tc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Mitigazione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Owner</w:t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Alto / Medio / Basso</w:t>
            </w:r>
          </w:p>
        </w:tc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60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Rituale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Frequenza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Partecipanti</w:t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Output</w:t>
            </w:r>
          </w:p>
        </w:tc>
      </w:tr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Stand-up operativo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Settimanale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Priorità e blocchi</w:t>
            </w:r>
          </w:p>
        </w:tc>
      </w:tr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Review KPI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Mensile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Decisioni e riallocazione budget</w:t>
            </w:r>
          </w:p>
        </w:tc>
      </w:tr>
      <w:tr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Steering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Trimestrale</w:t>
            </w:r>
          </w:p>
        </w:tc>
        <w:tc>
          <w:tcPr>
            <w:tcW w:type="dxa" w:w="288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Roadmap aggiornata</w:t>
            </w:r>
          </w:p>
        </w:tc>
      </w:tr>
    </w:tbl>
    <w:p>
      <w:pPr>
        <w:pStyle w:val="Heading1"/>
      </w:pPr>
      <w:r>
        <w:t>10. Backlog operativo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460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Task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Owner</w:t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Priorità</w:t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Scadenza</w:t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Stato</w:t>
            </w:r>
          </w:p>
        </w:tc>
      </w:tr>
      <w:tr>
        <w:tc>
          <w:tcPr>
            <w:tcW w:type="dxa" w:w="460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Alta / Media / Bassa</w:t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Da fare</w:t>
            </w:r>
          </w:p>
        </w:tc>
      </w:tr>
      <w:tr>
        <w:tc>
          <w:tcPr>
            <w:tcW w:type="dxa" w:w="460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460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460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36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6A7E"/>
        <w:sz w:val="15"/>
      </w:rPr>
      <w:t>aroundigital.com · modello operativo editabile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0073CF"/>
        <w:sz w:val="15"/>
      </w:rPr>
      <w:t>AROUNDIGITAL · TOOLKIT OPERATIVO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B1F3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0B1F3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0073CF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0B1F3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