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color w:val="B45309"/>
          <w:sz w:val="22"/>
        </w:rPr>
        <w:t>Disclaimer legale</w:t>
      </w:r>
    </w:p>
    <w:p>
      <w:r>
        <w:rPr>
          <w:color w:val="444444"/>
          <w:sz w:val="20"/>
        </w:rPr>
        <w:t>Questo documento è un template operativo di riferimento, non un parere legale. Prima dell'adozione va adattato al contesto aziendale specifico e validato con il proprio DPO e/o consulente legale, in particolare rispetto a GDPR (Reg. UE 2016/679), AI Act (Reg. UE 2024/1689) e normative di settore applicabili (es. NIS2, regolamenti finance, sanità, PA). Aroundigital fornisce il template a scopo consulenziale ed educativo e non risponde dell'uso in produzione senza revisione professionale.</w:t>
      </w:r>
    </w:p>
    <w:p>
      <w:r>
        <w:rPr>
          <w:color w:val="CCCCCC"/>
        </w:rPr>
        <w:t>―――</w:t>
      </w:r>
    </w:p>
    <w:p>
      <w:pPr>
        <w:spacing w:after="60"/>
        <w:jc w:val="left"/>
      </w:pPr>
      <w:r>
        <w:rPr>
          <w:rFonts w:ascii="Arial" w:cs="Arial" w:eastAsia="Arial" w:hAnsi="Arial"/>
          <w:b/>
          <w:bCs/>
          <w:color w:val="1F4E79"/>
          <w:spacing w:val="40"/>
          <w:sz w:val="18"/>
          <w:szCs w:val="18"/>
        </w:rPr>
        <w:t xml:space="preserve">AROUNDIGITAL · OEVIA TOOLKIT</w:t>
      </w:r>
    </w:p>
    <w:p>
      <w:pPr>
        <w:spacing w:after="240"/>
      </w:pPr>
      <w:r>
        <w:rPr>
          <w:rFonts w:ascii="Arial" w:cs="Arial" w:eastAsia="Arial" w:hAnsi="Arial"/>
          <w:b/>
          <w:bCs/>
          <w:color w:val="000000"/>
          <w:sz w:val="40"/>
          <w:szCs w:val="40"/>
        </w:rPr>
        <w:t xml:space="preserve">AI Governance Policy — Template aziendale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Documento base editabile per definire regole, ruoli e controlli sull’uso dell’intelligenza artificiale in azienda. Sostituisci i campi tra parentesi quadre [ … ] con le informazioni della tua organizzazione. Il template va discusso con management, IT, legal, HR e responsabili di funzione prima dell’adozione.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00"/>
      </w:tblGrid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Valore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Azienda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 azienda / gruppo]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Owner della policy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[Nome, ruolo]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Sponsor direzionale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[Nome, ruolo]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Versione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Data emissione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[gg/mm/aaaa]</w:t>
            </w:r>
          </w:p>
        </w:tc>
      </w:tr>
      <w:t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Prossima revisione</w:t>
            </w:r>
          </w:p>
        </w:tc>
        <w:tc>
          <w:tcPr>
            <w:tcW w:type="dxa" w:w="6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[gg/mm/aaaa — max 6 mesi]</w:t>
            </w:r>
          </w:p>
        </w:tc>
      </w:tr>
    </w:tbl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1. Scopo della policy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presente policy definisce le regole, i ruoli e i controlli con cui [Nome azienda] adotta strumenti di intelligenza artificiale (AI) generativa e non generativa nelle proprie attività. L’obiettivo è abilitare un uso pragmatico, sicuro e responsabile dell’AI, evitando rischi su dati, qualità, brand, privacy e sicurezza.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2. Destinatari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policy si applica a: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Tutti i dipendenti, collaboratori, stagisti e consulenti che utilizzano strumenti AI in nome o per conto di [Nome azienda].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Fornitori esterni che accedono a dati, documenti o processi aziendali usando l’AI.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Tutti i team, in tutte le funzioni: management, marketing, sales, customer care, HR, operations, IT, legal, finance.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3. Principi guida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L’AI supporta il lavoro umano: non sostituisce responsabilità e giudizio.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Ogni output AI destinato a decisioni, comunicazioni esterne o documenti ufficiali deve essere verificato da una persona competente.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Dati sensibili, personali o riservati non vanno inseriti in strumenti non autorizzati.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L’uso dell’AI deve essere coerente con brand, privacy, sicurezza e norme applicabili.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Ogni use case AI ha un owner nominato.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 processi critici richiedono sempre controllo umano prima dell’uso o della pubblicazione.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4. Strumenti autorizzati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Solo gli strumenti elencati in tabella possono essere utilizzati per attività aziendali. Nuovi tool devono passare per il processo di approvazione (sez. 11).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3400"/>
        <w:gridCol w:w="1800"/>
        <w:gridCol w:w="120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Strumento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Uso consentito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Livello dati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[es. ChatGPT Enterprise]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[es. bozze, sintesi, brainstorming]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Interno / non riservato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[Nome]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[es. Copilot 365]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[es. produttività, email, documenti Office]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Interno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[Nome]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[Aggiungere riga]</w:t>
            </w:r>
          </w:p>
        </w:tc>
        <w:tc>
          <w:tcPr>
            <w:tcW w:type="dxa" w:w="3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[…]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[…]</w:t>
            </w:r>
          </w:p>
        </w:tc>
        <w:tc>
          <w:tcPr>
            <w:tcW w:type="dxa" w:w="1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[…]</w:t>
            </w:r>
          </w:p>
        </w:tc>
      </w:tr>
    </w:tbl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5. Categorie di dati e regole d’uso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600"/>
        <w:gridCol w:w="3200"/>
      </w:tblGrid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Categoria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Esempi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Uso in strumenti AI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Pubblico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Contenuti già pubblicati, materiale marketing pubblico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Consentito su strumenti autorizzati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Interno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Procedure, note, bozze non riservate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Consentito solo su strumenti autorizzati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Confidenziale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Offerte, piani commerciali, contratti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Vietato salvo strumenti approvati e workflow definito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Personale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Dati identificativi di persone (art. 4 GDPR)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Vietato salvo base giuridica e strumenti approvati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Sensibile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Dati particolari GDPR (salute, biometrici, ecc.)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Vietato</w:t>
            </w:r>
          </w:p>
        </w:tc>
      </w:tr>
      <w:t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Cliente / commerciale</w:t>
            </w:r>
          </w:p>
        </w:tc>
        <w:tc>
          <w:tcPr>
            <w:tcW w:type="dxa" w:w="3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CRM, storico interazioni, contatti</w:t>
            </w:r>
          </w:p>
        </w:tc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Solo strumenti integrati e approvati</w:t>
            </w:r>
          </w:p>
        </w:tc>
      </w:tr>
    </w:tbl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6. Usi consentiti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Brainstorming e generazione idee.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Sintesi di documenti interni non riservati.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Creazione bozze di email, testi, presentazioni.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Supporto a contenuti marketing e social.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Preparazione scalette, ordine del giorno, note riunione.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Analisi preliminari e ricerche esplorative.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Traduzioni di uso interno.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Riformulazione, sintesi, semplificazione di testi.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Supporto a formazione e onboarding.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Creazione FAQ e sintesi di report già condivisibili.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7. Usi vietati o ad alto rischio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Inserire dati personali sensibili o riservati in tool non autorizzati.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Caricare documenti confidenziali senza verifica preventiva.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Generare comunicazioni legali, fiscali, mediche o regolatorie senza revisione esperta.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Usare output AI come fonte unica per decisioni rilevanti.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Pubblicare contenuti (sito, social, email cliente) senza controllo umano.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Condividere credenziali, chiavi API o informazioni confidenziali con strumenti AI.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Creare processi decisionali automatizzati su persone senza governance dedicata.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Utilizzare strumenti AI personali su dati aziendali.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8. Controllo umano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Prima di essere utilizzati esternamente o su processi critici, gli output AI devono essere verificati. La tabella definisce il livello minimo di controllo per tipo di attività.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0"/>
        <w:gridCol w:w="4600"/>
      </w:tblGrid>
      <w:tr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Tipo di attività</w:t>
            </w:r>
          </w:p>
        </w:tc>
        <w:tc>
          <w:tcPr>
            <w:tcW w:type="dxa" w:w="4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Controllo minimo richiesto</w:t>
            </w:r>
          </w:p>
        </w:tc>
      </w:tr>
      <w:tr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Bozze interne, note personali</w:t>
            </w:r>
          </w:p>
        </w:tc>
        <w:tc>
          <w:tcPr>
            <w:tcW w:type="dxa" w:w="4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Autoverifica dell’autore</w:t>
            </w:r>
          </w:p>
        </w:tc>
      </w:tr>
      <w:tr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Contenuti marketing / sito / social</w:t>
            </w:r>
          </w:p>
        </w:tc>
        <w:tc>
          <w:tcPr>
            <w:tcW w:type="dxa" w:w="4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Revisione responsabile marketing / brand</w:t>
            </w:r>
          </w:p>
        </w:tc>
      </w:tr>
      <w:tr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Email a cliente, offerte, comunicazioni commerciali</w:t>
            </w:r>
          </w:p>
        </w:tc>
        <w:tc>
          <w:tcPr>
            <w:tcW w:type="dxa" w:w="4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Revisione responsabile sales / account</w:t>
            </w:r>
          </w:p>
        </w:tc>
      </w:tr>
      <w:tr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Documenti legali, fiscali, HR, compliance</w:t>
            </w:r>
          </w:p>
        </w:tc>
        <w:tc>
          <w:tcPr>
            <w:tcW w:type="dxa" w:w="4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Revisione funzione competente + owner</w:t>
            </w:r>
          </w:p>
        </w:tc>
      </w:tr>
      <w:tr>
        <w:tc>
          <w:tcPr>
            <w:tcW w:type="dxa" w:w="4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Report o analisi con impatto decisionale</w:t>
            </w:r>
          </w:p>
        </w:tc>
        <w:tc>
          <w:tcPr>
            <w:tcW w:type="dxa" w:w="4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Verifica dati + firma responsabile funzione</w:t>
            </w:r>
          </w:p>
        </w:tc>
      </w:tr>
    </w:tbl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9. Ruoli e responsabilità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0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Ruolo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Responsabilità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Sponsor direzionale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Approvazione policy, budget, priorità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 Owner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Governance, aggiornamento policy, review use case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Referenti di funzione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Applicazione policy nella funzione, formazione, escalation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IT / Security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Strumenti autorizzati, accessi, sicurezza, integrazioni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Legal / Privacy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Compliance, GDPR, contratti, valutazione rischi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Marketing / Brand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Coerenza contenuti, tono di voce, qualità editoriale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HR / Formazione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Piano formativo, cultura d’uso, valutazione competenze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Team operativi</w:t>
            </w:r>
          </w:p>
        </w:tc>
        <w:tc>
          <w:tcPr>
            <w:tcW w:type="dxa" w:w="6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Uso corretto, segnalazione problemi, contributo agli use case</w:t>
            </w:r>
          </w:p>
        </w:tc>
      </w:tr>
    </w:tbl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10. Processo di approvazione nuovi strumenti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Richiesta iniziale da parte del referente di funzione all’AI Owner.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Valutazione tecnica IT/security (dati, integrazioni, accessi).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Valutazione legale/privacy (contratti, DPA, sub-processor).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Valutazione impatto business e use case attesi.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Decisione: approvato / pilota controllato / non approvato.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Aggiornamento della tabella strumenti autorizzati (sez. 4).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11. Gestione incidenti ed errori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Ogni utilizzo improprio, incidente su dati o errore rilevante deve essere segnalato tempestivamente all’AI Owner e alla funzione competente (IT, legal, HR). L’azienda raccoglie gli incidenti in un registro interno per aggiornare policy, formazione e workflow.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Canale di segnalazione: [email / ticket / referente].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Tempi attesi di risposta: [entro X giorni lavorativi].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Registro incidenti: mantenuto da [ruolo].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12. Formazione e adoption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Formazione base obbligatoria per tutti gli utenti dell’AI.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Playbook per funzione con use case, prompt e workflow autorizzati.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Sessioni di aggiornamento periodiche (min. semestrali).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Percorsi dedicati per ruoli chiave (management, marketing, sales, customer care, HR, operations).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13. Aggiornamento periodico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presente policy viene rivista almeno ogni [6 mesi] e ogni volta che si verifichi un cambiamento rilevante: nuovi strumenti, nuove normative, incidenti significativi, nuovi use case strategici. Le modifiche sono approvate dall’AI Owner con lo sponsor direzionale.</w:t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14. Approvazione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600"/>
        <w:gridCol w:w="2200"/>
        <w:gridCol w:w="1800"/>
      </w:tblGrid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Ruolo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Nome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Firma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</w:t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Sponsor direzionale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[Nome]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 Owner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[Nome]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Legal / Privacy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[Nome]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IT / Security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[Nome]</w:t>
            </w:r>
          </w:p>
        </w:tc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48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rilasciato da Aroundigital / Oevia — https://aroundigital.com/knowledge-hub/ai-governance-policy-ruoli-dati-sicurezza</w:t>
      </w:r>
    </w:p>
    <w:sectPr>
      <w:headerReference w:type="default" r:id="rId7"/>
      <w:footerReference w:type="default" r:id="rId8"/>
      <w:pgSz w:w="11906" w:h="16838" w:orient="portrait"/>
      <w:pgMar w:top="144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95959"/>
        <w:sz w:val="16"/>
        <w:szCs w:val="16"/>
      </w:rPr>
      <w:t xml:space="preserve">AI Governance Policy · Template  ·  Aroundigital / Oevia  ·  aroundigital.com  ·  pag.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1F4E79"/>
        <w:sz w:val="16"/>
        <w:szCs w:val="16"/>
      </w:rPr>
      <w:t xml:space="preserve">AROUNDIGITAL · OEVIA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48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Governance Policy Template</dc:title>
  <dc:creator>Aroundigital / Oevia</dc:creator>
  <cp:lastModifiedBy>Un-named</cp:lastModifiedBy>
  <cp:revision>1</cp:revision>
  <dcterms:created xsi:type="dcterms:W3CDTF">2026-07-03T16:56:11.315Z</dcterms:created>
  <dcterms:modified xsi:type="dcterms:W3CDTF">2026-07-03T16:56:11.315Z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